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February 1,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Minutes – </w:t>
      </w:r>
      <w:r w:rsidDel="00000000" w:rsidR="00000000" w:rsidRPr="00000000">
        <w:rPr>
          <w:sz w:val="22"/>
          <w:szCs w:val="22"/>
          <w:rtl w:val="0"/>
        </w:rPr>
        <w:t xml:space="preserve">January 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3 &amp; Special Meeting from 10-12-22 Closed Session; 8-4-22 Closed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Rule="auto"/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200" w:lineRule="auto"/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Update on payment schedule for Hardwood Estates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Annual Business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Bylaws 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review only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Economic Development Fund Policy 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review only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Member Term 2024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Appointment of Officers–</w:t>
      </w:r>
      <w:r w:rsidDel="00000000" w:rsidR="00000000" w:rsidRPr="00000000">
        <w:rPr>
          <w:i w:val="1"/>
          <w:sz w:val="22"/>
          <w:szCs w:val="22"/>
          <w:rtl w:val="0"/>
        </w:rPr>
        <w:t xml:space="preserve">action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Conflict of Interest Disclosure–</w:t>
      </w:r>
      <w:r w:rsidDel="00000000" w:rsidR="00000000" w:rsidRPr="00000000">
        <w:rPr>
          <w:i w:val="1"/>
          <w:sz w:val="22"/>
          <w:szCs w:val="22"/>
          <w:rtl w:val="0"/>
        </w:rPr>
        <w:t xml:space="preserve">action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Resolution 001-2024 Interfund Loan</w:t>
      </w:r>
    </w:p>
    <w:p w:rsidR="00000000" w:rsidDel="00000000" w:rsidP="00000000" w:rsidRDefault="00000000" w:rsidRPr="00000000" w14:paraId="00000022">
      <w:pPr>
        <w:pageBreakBefore w:val="0"/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March 7, 2024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January 29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I5dIb/+sZYDc+KYBBmVNj2v9w==">CgMxLjA4AHIhMTVFTWctSXd2MlQwVG92QVBxUmZ3S0h5MGNiWEM4OFkw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